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27573" w14:textId="77777777" w:rsidR="005C2861" w:rsidRDefault="00000000">
      <w:pPr>
        <w:pStyle w:val="Title"/>
      </w:pPr>
      <w:r>
        <w:t>Sewer Report 2025</w:t>
      </w:r>
    </w:p>
    <w:p w14:paraId="53B0A8D3" w14:textId="77777777" w:rsidR="005C2861" w:rsidRDefault="00000000">
      <w:r>
        <w:t>Town of Seabrook, New Hampshire</w:t>
      </w:r>
    </w:p>
    <w:p w14:paraId="3B497DA5" w14:textId="77777777" w:rsidR="005C2861" w:rsidRDefault="00000000">
      <w:r>
        <w:t>Town Manager</w:t>
      </w:r>
    </w:p>
    <w:p w14:paraId="0D65F85D" w14:textId="77777777" w:rsidR="005C2861" w:rsidRDefault="00000000">
      <w:r>
        <w:t>March 2026</w:t>
      </w:r>
    </w:p>
    <w:p w14:paraId="1BF5BDF6" w14:textId="77777777" w:rsidR="005C2861" w:rsidRDefault="00000000">
      <w:r>
        <w:t>Approved version prepared from year-end 2025 sewer records.</w:t>
      </w:r>
    </w:p>
    <w:p w14:paraId="3D85465B" w14:textId="77777777" w:rsidR="005C2861" w:rsidRDefault="00000000">
      <w:pPr>
        <w:pStyle w:val="Heading1"/>
      </w:pPr>
      <w:r>
        <w:t>Sewer Financial Analysis - Fiscal Year 2025</w:t>
      </w:r>
    </w:p>
    <w:p w14:paraId="3CE8EF8B" w14:textId="77777777" w:rsidR="005C2861" w:rsidRDefault="00000000">
      <w:r>
        <w:t>This report provides an updated five-year view of Seabrook sewer revenue and system performance through fiscal year 2025. It follows the structure of the 2024 sewer report and incorporates 2025 budget and revenue data.</w:t>
      </w:r>
    </w:p>
    <w:p w14:paraId="4F3A8335" w14:textId="77777777" w:rsidR="005C2861" w:rsidRDefault="00000000">
      <w:pPr>
        <w:pStyle w:val="Heading2"/>
      </w:pPr>
      <w:r>
        <w:t>Executive Summary</w:t>
      </w:r>
    </w:p>
    <w:p w14:paraId="12C86EAF" w14:textId="77777777" w:rsidR="005C2861" w:rsidRDefault="00000000">
      <w:r>
        <w:t>• Total Sewer Fund revenue remained strong in 2025, supporting a fully enterprise-funded system.</w:t>
      </w:r>
      <w:r>
        <w:br/>
        <w:t>• The sewer system continues to operate within expected performance levels.</w:t>
      </w:r>
      <w:r>
        <w:br/>
        <w:t>• Financial performance reflects continued stability following prior adjustments.</w:t>
      </w:r>
      <w:r>
        <w:br/>
        <w:t>• Infiltration and inflow (I&amp;I) remain an ongoing operational focus.</w:t>
      </w:r>
    </w:p>
    <w:p w14:paraId="2E4AEEAA" w14:textId="77777777" w:rsidR="005C2861" w:rsidRDefault="00000000">
      <w:pPr>
        <w:pStyle w:val="Heading2"/>
      </w:pPr>
      <w:r>
        <w:t>Revenue Analysis</w:t>
      </w:r>
    </w:p>
    <w:p w14:paraId="0BB2C75A" w14:textId="77777777" w:rsidR="005C2861" w:rsidRDefault="00000000">
      <w:r>
        <w:t>In 2025 the Sewer Fund continued to generate strong and stable revenue, driven primarily by sewer use charges and service fees. The enterprise structure allows for direct alignment between revenues and expenditures.</w:t>
      </w:r>
    </w:p>
    <w:tbl>
      <w:tblPr>
        <w:tblW w:w="0" w:type="auto"/>
        <w:tblLook w:val="04A0" w:firstRow="1" w:lastRow="0" w:firstColumn="1" w:lastColumn="0" w:noHBand="0" w:noVBand="1"/>
      </w:tblPr>
      <w:tblGrid>
        <w:gridCol w:w="4320"/>
        <w:gridCol w:w="4320"/>
      </w:tblGrid>
      <w:tr w:rsidR="005C2861" w14:paraId="30544D82" w14:textId="77777777">
        <w:tc>
          <w:tcPr>
            <w:tcW w:w="4320" w:type="dxa"/>
          </w:tcPr>
          <w:p w14:paraId="64968822" w14:textId="77777777" w:rsidR="005C2861" w:rsidRDefault="00000000">
            <w:r>
              <w:t>Fiscal Year</w:t>
            </w:r>
          </w:p>
        </w:tc>
        <w:tc>
          <w:tcPr>
            <w:tcW w:w="4320" w:type="dxa"/>
          </w:tcPr>
          <w:p w14:paraId="7DF16248" w14:textId="77777777" w:rsidR="005C2861" w:rsidRDefault="00000000">
            <w:r>
              <w:t>Revenue</w:t>
            </w:r>
          </w:p>
        </w:tc>
      </w:tr>
      <w:tr w:rsidR="005C2861" w14:paraId="5023838D" w14:textId="77777777">
        <w:tc>
          <w:tcPr>
            <w:tcW w:w="4320" w:type="dxa"/>
          </w:tcPr>
          <w:p w14:paraId="2D2E368A" w14:textId="77777777" w:rsidR="005C2861" w:rsidRDefault="00000000">
            <w:r>
              <w:t>2021</w:t>
            </w:r>
          </w:p>
        </w:tc>
        <w:tc>
          <w:tcPr>
            <w:tcW w:w="4320" w:type="dxa"/>
          </w:tcPr>
          <w:p w14:paraId="60EF1C74" w14:textId="77777777" w:rsidR="005C2861" w:rsidRDefault="00000000">
            <w:r>
              <w:t>1,428,873</w:t>
            </w:r>
          </w:p>
        </w:tc>
      </w:tr>
      <w:tr w:rsidR="005C2861" w14:paraId="45AEA632" w14:textId="77777777">
        <w:tc>
          <w:tcPr>
            <w:tcW w:w="4320" w:type="dxa"/>
          </w:tcPr>
          <w:p w14:paraId="7D7AAA43" w14:textId="77777777" w:rsidR="005C2861" w:rsidRDefault="00000000">
            <w:r>
              <w:t>2022</w:t>
            </w:r>
          </w:p>
        </w:tc>
        <w:tc>
          <w:tcPr>
            <w:tcW w:w="4320" w:type="dxa"/>
          </w:tcPr>
          <w:p w14:paraId="65E2B7B6" w14:textId="77777777" w:rsidR="005C2861" w:rsidRDefault="00000000">
            <w:r>
              <w:t>1,418,727</w:t>
            </w:r>
          </w:p>
        </w:tc>
      </w:tr>
      <w:tr w:rsidR="005C2861" w14:paraId="3E4BA8CD" w14:textId="77777777">
        <w:tc>
          <w:tcPr>
            <w:tcW w:w="4320" w:type="dxa"/>
          </w:tcPr>
          <w:p w14:paraId="582AA747" w14:textId="77777777" w:rsidR="005C2861" w:rsidRDefault="00000000">
            <w:r>
              <w:t>2023</w:t>
            </w:r>
          </w:p>
        </w:tc>
        <w:tc>
          <w:tcPr>
            <w:tcW w:w="4320" w:type="dxa"/>
          </w:tcPr>
          <w:p w14:paraId="776023D5" w14:textId="77777777" w:rsidR="005C2861" w:rsidRDefault="00000000">
            <w:r>
              <w:t>1,487,444</w:t>
            </w:r>
          </w:p>
        </w:tc>
      </w:tr>
      <w:tr w:rsidR="005C2861" w14:paraId="3338D157" w14:textId="77777777">
        <w:tc>
          <w:tcPr>
            <w:tcW w:w="4320" w:type="dxa"/>
          </w:tcPr>
          <w:p w14:paraId="77979510" w14:textId="77777777" w:rsidR="005C2861" w:rsidRDefault="00000000">
            <w:r>
              <w:t>2024</w:t>
            </w:r>
          </w:p>
        </w:tc>
        <w:tc>
          <w:tcPr>
            <w:tcW w:w="4320" w:type="dxa"/>
          </w:tcPr>
          <w:p w14:paraId="0D3E89CA" w14:textId="77777777" w:rsidR="005C2861" w:rsidRDefault="00000000">
            <w:r>
              <w:t>3,162,902</w:t>
            </w:r>
          </w:p>
        </w:tc>
      </w:tr>
      <w:tr w:rsidR="005C2861" w14:paraId="5072459E" w14:textId="77777777">
        <w:tc>
          <w:tcPr>
            <w:tcW w:w="4320" w:type="dxa"/>
          </w:tcPr>
          <w:p w14:paraId="25C3D0F9" w14:textId="77777777" w:rsidR="005C2861" w:rsidRDefault="00000000">
            <w:r>
              <w:t>2025</w:t>
            </w:r>
          </w:p>
        </w:tc>
        <w:tc>
          <w:tcPr>
            <w:tcW w:w="4320" w:type="dxa"/>
          </w:tcPr>
          <w:p w14:paraId="6434962E" w14:textId="77777777" w:rsidR="005C2861" w:rsidRDefault="00000000">
            <w:r>
              <w:t>3,570,285.96</w:t>
            </w:r>
          </w:p>
        </w:tc>
      </w:tr>
    </w:tbl>
    <w:p w14:paraId="4AE58F3F" w14:textId="77777777" w:rsidR="005C2861" w:rsidRDefault="00000000">
      <w:pPr>
        <w:pStyle w:val="Heading2"/>
      </w:pPr>
      <w:r>
        <w:t>System Performance</w:t>
      </w:r>
    </w:p>
    <w:p w14:paraId="63B53D59" w14:textId="77777777" w:rsidR="005C2861" w:rsidRDefault="00000000">
      <w:r>
        <w:t>The sewer system continued to operate reliably in 2025. Wastewater flows remained within expected ranges, with no major deviations from prior-year trends. System performance continues to be influenced by seasonal conditions and groundwater infiltration.</w:t>
      </w:r>
    </w:p>
    <w:p w14:paraId="3AFF7AE4" w14:textId="77777777" w:rsidR="005C2861" w:rsidRDefault="00000000">
      <w:pPr>
        <w:pStyle w:val="Heading2"/>
      </w:pPr>
      <w:r>
        <w:lastRenderedPageBreak/>
        <w:t>Infiltration and Inflow (I&amp;I)</w:t>
      </w:r>
    </w:p>
    <w:p w14:paraId="761A4475" w14:textId="77777777" w:rsidR="005C2861" w:rsidRDefault="00000000">
      <w:r>
        <w:t>Infiltration and inflow remain a key operational concern for the sewer system. Excess flow during wet weather events can impact system efficiency and treatment capacity. Continued monitoring and targeted infrastructure improvements are recommended to reduce I&amp;I over time.</w:t>
      </w:r>
    </w:p>
    <w:p w14:paraId="68C12F38" w14:textId="77777777" w:rsidR="005C2861" w:rsidRDefault="00000000">
      <w:r>
        <w:t>In addition to system performance, the Sewer Fund demonstrated strong financial results in Fiscal Year 2025. The adopted sewer budget projected revenues of $3,162,902.</w:t>
      </w:r>
    </w:p>
    <w:p w14:paraId="563D54C7" w14:textId="77777777" w:rsidR="005C2861" w:rsidRDefault="00000000">
      <w:r>
        <w:t>Actual revenues exceeded expectations, reaching $3,570,285.96, or approximately 113% of projected revenue. This represents an increase of over $400,000 above budget and reflects continued strength in sewer use charges as well as higher-than-anticipated miscellaneous and inspection-related revenue.</w:t>
      </w:r>
    </w:p>
    <w:p w14:paraId="09EA438B" w14:textId="77777777" w:rsidR="005C2861" w:rsidRDefault="00000000">
      <w:r>
        <w:t>The largest contributor to revenue remained Sewer Use Revenue, which significantly exceeded projections, indicating that system demand and billing remained strong throughout the year. Service fee revenue also performed slightly above expectations.</w:t>
      </w:r>
    </w:p>
    <w:p w14:paraId="7B2DD886" w14:textId="77777777" w:rsidR="005C2861" w:rsidRDefault="00000000">
      <w:r>
        <w:t>This level of performance confirms that the sewer enterprise fund is not only stable but exceeding financial expectations. Revenues are sufficient to support operations, debt obligations, and future capital needs.</w:t>
      </w:r>
    </w:p>
    <w:p w14:paraId="28D89341" w14:textId="77777777" w:rsidR="005C2861" w:rsidRDefault="00000000">
      <w:r>
        <w:t>As with the water system, this reflects the continued success of the enterprise funding model and provides a strong financial position entering Fiscal Year 2026.</w:t>
      </w:r>
    </w:p>
    <w:p w14:paraId="1795E0C9" w14:textId="77777777" w:rsidR="005C2861" w:rsidRDefault="00000000">
      <w:r>
        <w:t>Financial Performance – Fiscal Year 2025</w:t>
      </w:r>
    </w:p>
    <w:p w14:paraId="6BDD2D06" w14:textId="77777777" w:rsidR="005C2861" w:rsidRDefault="00000000">
      <w:pPr>
        <w:pStyle w:val="Heading2"/>
      </w:pPr>
      <w:r>
        <w:t>Financial Performance – Fiscal Year 2025</w:t>
      </w:r>
    </w:p>
    <w:p w14:paraId="1F152D40" w14:textId="77777777" w:rsidR="005C2861" w:rsidRDefault="00000000">
      <w:r>
        <w:t>The adopted 2025 sewer budget totaled approximately $3,037,903, with projected revenues of $3,162,902, resulting in a planned surplus of approximately $124,999.</w:t>
      </w:r>
      <w:r>
        <w:br/>
      </w:r>
      <w:r>
        <w:br/>
        <w:t>Actual performance remained consistent with projections, confirming that the sewer enterprise fund is stable and self-supporting.</w:t>
      </w:r>
      <w:r>
        <w:br/>
      </w:r>
      <w:r>
        <w:br/>
        <w:t>This demonstrates that the enterprise model is functioning as intended and providing sufficient revenue to support operations, debt obligations, and capital planning.</w:t>
      </w:r>
    </w:p>
    <w:p w14:paraId="0A75C3A6" w14:textId="77777777" w:rsidR="005C2861" w:rsidRDefault="00000000">
      <w:pPr>
        <w:pStyle w:val="Heading2"/>
      </w:pPr>
      <w:r>
        <w:t>Conclusion</w:t>
      </w:r>
    </w:p>
    <w:p w14:paraId="62DF7126" w14:textId="77777777" w:rsidR="005C2861" w:rsidRDefault="00000000">
      <w:r>
        <w:t>The 2025 sewer system reflects continued operational stability and financial strength. The enterprise model provides a sustainable framework for maintaining infrastructure and addressing future system needs, while ongoing attention to infiltration and inflow will remain critical.</w:t>
      </w:r>
    </w:p>
    <w:sectPr w:rsidR="005C2861"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215921502">
    <w:abstractNumId w:val="8"/>
  </w:num>
  <w:num w:numId="2" w16cid:durableId="1384790222">
    <w:abstractNumId w:val="6"/>
  </w:num>
  <w:num w:numId="3" w16cid:durableId="676423899">
    <w:abstractNumId w:val="5"/>
  </w:num>
  <w:num w:numId="4" w16cid:durableId="587465700">
    <w:abstractNumId w:val="4"/>
  </w:num>
  <w:num w:numId="5" w16cid:durableId="770858056">
    <w:abstractNumId w:val="7"/>
  </w:num>
  <w:num w:numId="6" w16cid:durableId="1658335652">
    <w:abstractNumId w:val="3"/>
  </w:num>
  <w:num w:numId="7" w16cid:durableId="1037587504">
    <w:abstractNumId w:val="2"/>
  </w:num>
  <w:num w:numId="8" w16cid:durableId="699550406">
    <w:abstractNumId w:val="1"/>
  </w:num>
  <w:num w:numId="9" w16cid:durableId="5328871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5C2861"/>
    <w:rsid w:val="00713F21"/>
    <w:rsid w:val="00AA1D8D"/>
    <w:rsid w:val="00B47730"/>
    <w:rsid w:val="00C06927"/>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D187657"/>
  <w14:defaultImageDpi w14:val="300"/>
  <w15:docId w15:val="{62A15150-9A2F-EB4B-8081-74AE59825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533</Words>
  <Characters>3044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3570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William Manzi</cp:lastModifiedBy>
  <cp:revision>2</cp:revision>
  <dcterms:created xsi:type="dcterms:W3CDTF">2026-04-13T13:36:00Z</dcterms:created>
  <dcterms:modified xsi:type="dcterms:W3CDTF">2026-04-13T13:36:00Z</dcterms:modified>
  <cp:category/>
</cp:coreProperties>
</file>